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47C" w:rsidRDefault="000A747C" w:rsidP="000A747C">
      <w:pPr>
        <w:pStyle w:val="ab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0A747C" w:rsidRDefault="000A747C" w:rsidP="000A747C">
      <w:pPr>
        <w:ind w:firstLine="567"/>
        <w:jc w:val="both"/>
        <w:rPr>
          <w:b/>
          <w:i/>
          <w:szCs w:val="24"/>
        </w:rPr>
      </w:pPr>
      <w:r>
        <w:rPr>
          <w:b/>
          <w:i/>
        </w:rPr>
        <w:t>Задание № 1</w:t>
      </w:r>
    </w:p>
    <w:p w:rsidR="000A747C" w:rsidRDefault="000A747C" w:rsidP="000A747C">
      <w:pPr>
        <w:ind w:firstLine="567"/>
        <w:jc w:val="both"/>
      </w:pPr>
      <w: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Железа лактат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Ферковен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Феррум-лек в вену, в мышцу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Кислоту фолиевую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Кальция хлорид для инъекций, внутрь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Викасол в таблетках, в ампулах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Стрептокиназу</w:t>
      </w:r>
    </w:p>
    <w:p w:rsidR="000A747C" w:rsidRDefault="000A747C" w:rsidP="000A747C">
      <w:pPr>
        <w:pStyle w:val="4"/>
        <w:numPr>
          <w:ilvl w:val="0"/>
          <w:numId w:val="11"/>
        </w:numPr>
        <w:spacing w:after="0" w:line="240" w:lineRule="auto"/>
        <w:contextualSpacing w:val="0"/>
        <w:jc w:val="both"/>
      </w:pPr>
      <w:r>
        <w:t>Пентоксил</w:t>
      </w:r>
    </w:p>
    <w:p w:rsidR="000A747C" w:rsidRDefault="000A747C" w:rsidP="000A747C">
      <w:pPr>
        <w:pStyle w:val="4"/>
        <w:numPr>
          <w:ilvl w:val="0"/>
          <w:numId w:val="0"/>
        </w:numPr>
        <w:tabs>
          <w:tab w:val="left" w:pos="708"/>
        </w:tabs>
        <w:ind w:left="135"/>
        <w:jc w:val="both"/>
      </w:pP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Задание № 2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Выписать рецепты по показаниям: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При фибринолитическом кровотечении.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Антиагрегант для профилактики тромбоза.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Антикоагулянт быстрого действия в острый период инфаркта миокарда.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Антикоагулянт в таблетках  для лечения тромбофлебита.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При железодефицитной анемии для приема внутрь.</w:t>
      </w:r>
    </w:p>
    <w:p w:rsidR="000A747C" w:rsidRDefault="000A747C" w:rsidP="000A747C">
      <w:pPr>
        <w:numPr>
          <w:ilvl w:val="0"/>
          <w:numId w:val="12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При β</w:t>
      </w:r>
      <w:r>
        <w:rPr>
          <w:vertAlign w:val="subscript"/>
        </w:rPr>
        <w:t>2</w:t>
      </w:r>
      <w:r>
        <w:t>-фолиеводефицитной анемии.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left="567"/>
        <w:jc w:val="both"/>
      </w:pP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1</w:t>
      </w: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>
        <w:t>Больная С. 58 лет, поступила в приемное отделение с симптомами желудочного кровотечения. Состояние больной не позволяло проводить хирургическое вмешательство. Назначить необходимые гемостатические препараты.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2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Больной А. 61 год, поступил в кардиологическое отделение с диагнозом «острый инфаркт миокарда». Какую антикоагулянтную терапию необходимо назначить пациенту?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3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Больная М. 13 лет, в течение 5 дней приняла 30 драже «Ферроплекса». Доставлена в хирургическое отделение с жалобами на тошноту, повторную рвоту с кровью, анорексию, сильное головокружение (</w:t>
      </w:r>
      <w:r>
        <w:sym w:font="Wingdings 3" w:char="F024"/>
      </w:r>
      <w:r>
        <w:t xml:space="preserve"> АД резкое). Какое лечение назначить?</w:t>
      </w: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</w:p>
    <w:p w:rsidR="000A747C" w:rsidRDefault="000A747C" w:rsidP="000A747C">
      <w:pPr>
        <w:ind w:firstLine="567"/>
        <w:jc w:val="both"/>
        <w:rPr>
          <w:b/>
          <w:i/>
        </w:rPr>
      </w:pPr>
      <w:r>
        <w:rPr>
          <w:b/>
          <w:i/>
        </w:rPr>
        <w:t xml:space="preserve">Тестовый контроль: </w:t>
      </w:r>
    </w:p>
    <w:p w:rsidR="000A747C" w:rsidRDefault="000A747C" w:rsidP="000A747C">
      <w:pPr>
        <w:numPr>
          <w:ilvl w:val="1"/>
          <w:numId w:val="13"/>
        </w:numPr>
        <w:tabs>
          <w:tab w:val="left" w:pos="540"/>
        </w:tabs>
        <w:spacing w:after="0" w:line="240" w:lineRule="auto"/>
        <w:jc w:val="both"/>
        <w:rPr>
          <w:b/>
        </w:rPr>
      </w:pPr>
      <w:r>
        <w:rPr>
          <w:b/>
        </w:rPr>
        <w:t>Средства, которые применяют для лечения железодефицитных анемий:</w:t>
      </w:r>
    </w:p>
    <w:p w:rsidR="000A747C" w:rsidRDefault="000A747C" w:rsidP="000A747C">
      <w:pPr>
        <w:numPr>
          <w:ilvl w:val="0"/>
          <w:numId w:val="14"/>
        </w:numPr>
        <w:spacing w:after="0" w:line="240" w:lineRule="auto"/>
        <w:jc w:val="both"/>
      </w:pPr>
      <w:r>
        <w:t>Молграмостим.</w:t>
      </w:r>
    </w:p>
    <w:p w:rsidR="000A747C" w:rsidRDefault="000A747C" w:rsidP="000A747C">
      <w:pPr>
        <w:numPr>
          <w:ilvl w:val="0"/>
          <w:numId w:val="14"/>
        </w:numPr>
        <w:spacing w:after="0" w:line="240" w:lineRule="auto"/>
        <w:jc w:val="both"/>
      </w:pPr>
      <w:r>
        <w:t>Цианокобаламин.</w:t>
      </w:r>
    </w:p>
    <w:p w:rsidR="000A747C" w:rsidRDefault="000A747C" w:rsidP="000A747C">
      <w:pPr>
        <w:numPr>
          <w:ilvl w:val="0"/>
          <w:numId w:val="14"/>
        </w:numPr>
        <w:spacing w:after="0" w:line="240" w:lineRule="auto"/>
        <w:jc w:val="both"/>
      </w:pPr>
      <w:r>
        <w:t>Кислота фолиевая.</w:t>
      </w:r>
    </w:p>
    <w:p w:rsidR="000A747C" w:rsidRDefault="000A747C" w:rsidP="000A747C">
      <w:pPr>
        <w:numPr>
          <w:ilvl w:val="0"/>
          <w:numId w:val="14"/>
        </w:numPr>
        <w:spacing w:after="0" w:line="240" w:lineRule="auto"/>
        <w:jc w:val="both"/>
      </w:pPr>
      <w:r>
        <w:t xml:space="preserve">Ферковен. </w:t>
      </w:r>
    </w:p>
    <w:p w:rsidR="000A747C" w:rsidRDefault="000A747C" w:rsidP="000A747C">
      <w:pPr>
        <w:numPr>
          <w:ilvl w:val="0"/>
          <w:numId w:val="14"/>
        </w:numPr>
        <w:spacing w:after="0" w:line="240" w:lineRule="auto"/>
        <w:jc w:val="both"/>
      </w:pPr>
      <w:r>
        <w:t xml:space="preserve">Железа закисного сульфат. 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Средства, которые применяют для лечения гиперхромных анемий: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t>Железа закисного сульфат.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t>Ферковен.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t xml:space="preserve">Цианокобаламин. 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lastRenderedPageBreak/>
        <w:t>Эпоэтин альфа.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t xml:space="preserve">Кислота фолиевая. </w:t>
      </w:r>
    </w:p>
    <w:p w:rsidR="000A747C" w:rsidRDefault="000A747C" w:rsidP="000A747C">
      <w:pPr>
        <w:numPr>
          <w:ilvl w:val="0"/>
          <w:numId w:val="15"/>
        </w:numPr>
        <w:spacing w:after="0" w:line="240" w:lineRule="auto"/>
        <w:jc w:val="both"/>
      </w:pPr>
      <w:r>
        <w:t>Молграмостим.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Основной препарат, применяемый для лечения пернициозной (злокачественной) анемии: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>Железа закисного сульфат.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 xml:space="preserve">Цианокобаламин. 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>Молграмостим.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>Кислота фолиевая.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>Ферковен.</w:t>
      </w:r>
    </w:p>
    <w:p w:rsidR="000A747C" w:rsidRDefault="000A747C" w:rsidP="000A747C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</w:pPr>
      <w:r>
        <w:t>Эпоэтин альфа.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Указать возможные механизмы действия веществ, уменьшающих агрегацию тромбоцитов: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Уменьшение синтеза тромбоксана в тромбоцитах. 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Блокада тромбоксановых рецепторов тромбоцитов. 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Блокада простациклиновых рецепторов тромбоцитов. 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Блокада гликопротеиновых рецепторов ( </w:t>
      </w:r>
      <w:r>
        <w:rPr>
          <w:lang w:val="en-US"/>
        </w:rPr>
        <w:t>GP</w:t>
      </w:r>
      <w:r w:rsidRPr="000A747C">
        <w:t xml:space="preserve"> </w:t>
      </w:r>
      <w:r>
        <w:rPr>
          <w:lang w:val="en-US"/>
        </w:rPr>
        <w:t>IIb</w:t>
      </w:r>
      <w:r>
        <w:t>/</w:t>
      </w:r>
      <w:r>
        <w:rPr>
          <w:lang w:val="en-US"/>
        </w:rPr>
        <w:t>IIIa</w:t>
      </w:r>
      <w:r>
        <w:t xml:space="preserve"> ) тромбоцитов. 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Блокада пуриновых рецепторов тромбоцитов. </w:t>
      </w:r>
    </w:p>
    <w:p w:rsidR="000A747C" w:rsidRDefault="000A747C" w:rsidP="000A747C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</w:pPr>
      <w:r>
        <w:t xml:space="preserve">Блокада серотониновых рецепторов тромбоцитов. 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Что характерно для кислоты ацетилсалициловой?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 xml:space="preserve">Ингибирует циклооксегеназу  и нарушает образование тромбоксана. 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>Блокирует тромбоксановые рецепторы тромбоцитов.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>Стимулирует простациклиновые рецепторы тромбоцитов.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 xml:space="preserve">Блокирует гликопротеиновые рецепторы ( </w:t>
      </w:r>
      <w:r>
        <w:rPr>
          <w:lang w:val="en-US"/>
        </w:rPr>
        <w:t>GP</w:t>
      </w:r>
      <w:r w:rsidRPr="000A747C">
        <w:t xml:space="preserve"> </w:t>
      </w:r>
      <w:r>
        <w:rPr>
          <w:lang w:val="en-US"/>
        </w:rPr>
        <w:t>IIb</w:t>
      </w:r>
      <w:r>
        <w:t>/</w:t>
      </w:r>
      <w:r>
        <w:rPr>
          <w:lang w:val="en-US"/>
        </w:rPr>
        <w:t>IIIa</w:t>
      </w:r>
      <w:r>
        <w:t xml:space="preserve"> ) тромбоцитов.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 xml:space="preserve">Оказывает антиагрегантный эффект в невысоких дозах. </w:t>
      </w:r>
    </w:p>
    <w:p w:rsidR="000A747C" w:rsidRDefault="000A747C" w:rsidP="000A747C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</w:pPr>
      <w:r>
        <w:t xml:space="preserve">Применяется внутрь. 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Механизм антиагрегантного действия клопидогрела и тиклопидина:</w:t>
      </w:r>
    </w:p>
    <w:p w:rsidR="000A747C" w:rsidRDefault="000A747C" w:rsidP="000A747C">
      <w:pPr>
        <w:numPr>
          <w:ilvl w:val="0"/>
          <w:numId w:val="19"/>
        </w:numPr>
        <w:spacing w:after="0" w:line="240" w:lineRule="auto"/>
        <w:jc w:val="both"/>
      </w:pPr>
      <w:r>
        <w:t xml:space="preserve">Блокируют тромбоксановые рецепторы тромбоцитов. </w:t>
      </w:r>
    </w:p>
    <w:p w:rsidR="000A747C" w:rsidRDefault="000A747C" w:rsidP="000A747C">
      <w:pPr>
        <w:numPr>
          <w:ilvl w:val="0"/>
          <w:numId w:val="19"/>
        </w:numPr>
        <w:spacing w:after="0" w:line="240" w:lineRule="auto"/>
        <w:jc w:val="both"/>
      </w:pPr>
      <w:r>
        <w:t>Ингибируют циклооксегеназу  и нарушают образование тромбоксана.</w:t>
      </w:r>
    </w:p>
    <w:p w:rsidR="000A747C" w:rsidRDefault="000A747C" w:rsidP="000A747C">
      <w:pPr>
        <w:numPr>
          <w:ilvl w:val="0"/>
          <w:numId w:val="19"/>
        </w:numPr>
        <w:spacing w:after="0" w:line="240" w:lineRule="auto"/>
        <w:jc w:val="both"/>
      </w:pPr>
      <w:r>
        <w:t>Стимулируют простациклиновые рецепторы тромбоцитов.</w:t>
      </w:r>
    </w:p>
    <w:p w:rsidR="000A747C" w:rsidRDefault="000A747C" w:rsidP="000A747C">
      <w:pPr>
        <w:numPr>
          <w:ilvl w:val="0"/>
          <w:numId w:val="19"/>
        </w:numPr>
        <w:spacing w:after="0" w:line="240" w:lineRule="auto"/>
        <w:jc w:val="both"/>
        <w:rPr>
          <w:spacing w:val="-6"/>
        </w:rPr>
      </w:pPr>
      <w:r>
        <w:rPr>
          <w:spacing w:val="-6"/>
        </w:rPr>
        <w:t xml:space="preserve">Блокируют пуриновые рецепторы тромбоцитов и препятствуют действию на них АДФ. </w:t>
      </w:r>
    </w:p>
    <w:p w:rsidR="000A747C" w:rsidRDefault="000A747C" w:rsidP="000A747C">
      <w:pPr>
        <w:numPr>
          <w:ilvl w:val="0"/>
          <w:numId w:val="19"/>
        </w:numPr>
        <w:spacing w:after="0" w:line="240" w:lineRule="auto"/>
        <w:jc w:val="both"/>
      </w:pPr>
      <w:r>
        <w:t xml:space="preserve">Блокируют гликопротеиновые рецепторы ( </w:t>
      </w:r>
      <w:r>
        <w:rPr>
          <w:lang w:val="en-US"/>
        </w:rPr>
        <w:t>GP</w:t>
      </w:r>
      <w:r w:rsidRPr="000A747C">
        <w:t xml:space="preserve"> </w:t>
      </w:r>
      <w:r>
        <w:rPr>
          <w:lang w:val="en-US"/>
        </w:rPr>
        <w:t>IIb</w:t>
      </w:r>
      <w:r>
        <w:t>/</w:t>
      </w:r>
      <w:r>
        <w:rPr>
          <w:lang w:val="en-US"/>
        </w:rPr>
        <w:t>IIIa</w:t>
      </w:r>
      <w:r>
        <w:t xml:space="preserve"> ) тромбоцитов.</w:t>
      </w:r>
    </w:p>
    <w:p w:rsidR="000A747C" w:rsidRDefault="000A747C" w:rsidP="000A747C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b/>
        </w:rPr>
      </w:pPr>
      <w:r>
        <w:rPr>
          <w:b/>
        </w:rPr>
        <w:t>Что характерно для дипиридамола?</w:t>
      </w:r>
    </w:p>
    <w:p w:rsidR="000A747C" w:rsidRDefault="000A747C" w:rsidP="000A747C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</w:pPr>
      <w:r>
        <w:t xml:space="preserve">Блокирует гликопротеиновые рецепторы ( </w:t>
      </w:r>
      <w:r>
        <w:rPr>
          <w:lang w:val="en-US"/>
        </w:rPr>
        <w:t>GP</w:t>
      </w:r>
      <w:r w:rsidRPr="000A747C">
        <w:t xml:space="preserve"> </w:t>
      </w:r>
      <w:r>
        <w:rPr>
          <w:lang w:val="en-US"/>
        </w:rPr>
        <w:t>IIb</w:t>
      </w:r>
      <w:r>
        <w:t>/</w:t>
      </w:r>
      <w:r>
        <w:rPr>
          <w:lang w:val="en-US"/>
        </w:rPr>
        <w:t>IIIa</w:t>
      </w:r>
      <w:r>
        <w:t xml:space="preserve"> ) тромбоцитов.</w:t>
      </w:r>
    </w:p>
    <w:p w:rsidR="000A747C" w:rsidRDefault="000A747C" w:rsidP="000A747C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</w:pPr>
      <w:r>
        <w:t>Ингибирует циклооксегеназу  и нарушает образование тромбоксана.</w:t>
      </w:r>
    </w:p>
    <w:p w:rsidR="000A747C" w:rsidRDefault="000A747C" w:rsidP="000A747C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</w:pPr>
      <w:r>
        <w:t xml:space="preserve">Ингибирует фосфодиэстеразу тромбоцитов и повышает содержание в них цАМФ. </w:t>
      </w:r>
    </w:p>
    <w:p w:rsidR="000A747C" w:rsidRDefault="000A747C" w:rsidP="000A747C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</w:pPr>
      <w:r>
        <w:t xml:space="preserve">Вызывает коронарорасширяющий эффект. </w:t>
      </w:r>
    </w:p>
    <w:p w:rsidR="000A747C" w:rsidRDefault="000A747C" w:rsidP="000A747C">
      <w:pPr>
        <w:numPr>
          <w:ilvl w:val="0"/>
          <w:numId w:val="13"/>
        </w:numPr>
        <w:tabs>
          <w:tab w:val="left" w:pos="1260"/>
        </w:tabs>
        <w:spacing w:after="0" w:line="240" w:lineRule="auto"/>
        <w:jc w:val="both"/>
        <w:rPr>
          <w:b/>
        </w:rPr>
      </w:pPr>
      <w:r>
        <w:rPr>
          <w:b/>
        </w:rPr>
        <w:t>Механизм противосвертывающего действия гепарина:</w:t>
      </w:r>
    </w:p>
    <w:p w:rsidR="000A747C" w:rsidRDefault="000A747C" w:rsidP="000A747C">
      <w:pPr>
        <w:numPr>
          <w:ilvl w:val="0"/>
          <w:numId w:val="21"/>
        </w:numPr>
        <w:tabs>
          <w:tab w:val="left" w:pos="360"/>
        </w:tabs>
        <w:spacing w:after="0" w:line="240" w:lineRule="auto"/>
        <w:jc w:val="both"/>
      </w:pPr>
      <w:r>
        <w:t xml:space="preserve">Угнетает синтез протромбина в печени. </w:t>
      </w:r>
    </w:p>
    <w:p w:rsidR="000A747C" w:rsidRDefault="000A747C" w:rsidP="000A747C">
      <w:pPr>
        <w:numPr>
          <w:ilvl w:val="0"/>
          <w:numId w:val="21"/>
        </w:numPr>
        <w:tabs>
          <w:tab w:val="left" w:pos="360"/>
        </w:tabs>
        <w:spacing w:after="0" w:line="240" w:lineRule="auto"/>
        <w:jc w:val="both"/>
      </w:pPr>
      <w:r>
        <w:t>Связывает ионы кальция, нарушая переход протромбина в тромбин.</w:t>
      </w:r>
    </w:p>
    <w:p w:rsidR="000A747C" w:rsidRDefault="000A747C" w:rsidP="000A747C">
      <w:pPr>
        <w:numPr>
          <w:ilvl w:val="0"/>
          <w:numId w:val="21"/>
        </w:numPr>
        <w:tabs>
          <w:tab w:val="left" w:pos="360"/>
        </w:tabs>
        <w:spacing w:after="0" w:line="240" w:lineRule="auto"/>
        <w:jc w:val="both"/>
      </w:pPr>
      <w:r>
        <w:t xml:space="preserve">Усиливает угнетающее действие антитромбина </w:t>
      </w:r>
      <w:r>
        <w:rPr>
          <w:lang w:val="en-US"/>
        </w:rPr>
        <w:t>III</w:t>
      </w:r>
      <w:r>
        <w:t xml:space="preserve"> на переход протромбина в тромбин и на тромбин. 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</w:rPr>
      </w:pPr>
      <w:r>
        <w:rPr>
          <w:b/>
        </w:rPr>
        <w:t>Что характерно для низкомолекулярных гепаринов?</w:t>
      </w:r>
    </w:p>
    <w:p w:rsidR="000A747C" w:rsidRDefault="000A747C" w:rsidP="000A747C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  <w:rPr>
          <w:spacing w:val="-6"/>
        </w:rPr>
      </w:pPr>
      <w:r>
        <w:rPr>
          <w:spacing w:val="-6"/>
        </w:rPr>
        <w:t xml:space="preserve">Усиливают угнетающее действие антитромбина </w:t>
      </w:r>
      <w:r>
        <w:rPr>
          <w:spacing w:val="-6"/>
          <w:lang w:val="en-US"/>
        </w:rPr>
        <w:t>III</w:t>
      </w:r>
      <w:r>
        <w:rPr>
          <w:spacing w:val="-6"/>
        </w:rPr>
        <w:t xml:space="preserve"> на переход протромбина в тромбин. </w:t>
      </w:r>
    </w:p>
    <w:p w:rsidR="000A747C" w:rsidRDefault="000A747C" w:rsidP="000A747C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</w:pPr>
      <w:r>
        <w:t xml:space="preserve">На фоне действия препаратов не происходит угнетения активности тромбина. </w:t>
      </w:r>
    </w:p>
    <w:p w:rsidR="000A747C" w:rsidRDefault="000A747C" w:rsidP="000A747C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</w:pPr>
      <w:r>
        <w:t>На фоне действия препаратов активность тромбина угнетается в большей степени, чем на фоне действия гепарина.</w:t>
      </w:r>
    </w:p>
    <w:p w:rsidR="000A747C" w:rsidRDefault="000A747C" w:rsidP="000A747C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</w:pPr>
      <w:r>
        <w:t xml:space="preserve">Обладают выраженной антиагрегантной активностью. </w:t>
      </w:r>
    </w:p>
    <w:p w:rsidR="000A747C" w:rsidRDefault="000A747C" w:rsidP="000A747C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</w:pPr>
      <w:r>
        <w:t xml:space="preserve">Действуют более продолжительно, чем гепарин. </w:t>
      </w:r>
    </w:p>
    <w:p w:rsidR="000A747C" w:rsidRDefault="000A747C" w:rsidP="000A747C">
      <w:pPr>
        <w:numPr>
          <w:ilvl w:val="0"/>
          <w:numId w:val="13"/>
        </w:numPr>
        <w:spacing w:after="0" w:line="240" w:lineRule="auto"/>
        <w:jc w:val="both"/>
        <w:rPr>
          <w:b/>
          <w:spacing w:val="-6"/>
        </w:rPr>
      </w:pPr>
      <w:r>
        <w:rPr>
          <w:b/>
          <w:spacing w:val="-6"/>
        </w:rPr>
        <w:t>Механизм противосвертывающего действия антикоагулянтов непрямого действия:</w:t>
      </w:r>
    </w:p>
    <w:p w:rsidR="000A747C" w:rsidRDefault="000A747C" w:rsidP="000A747C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both"/>
      </w:pPr>
      <w:r>
        <w:t>Угнетают синтез протромбина  и проконвертина в печени, являясь антагонистами витамина К</w:t>
      </w:r>
      <w:r>
        <w:rPr>
          <w:vertAlign w:val="subscript"/>
        </w:rPr>
        <w:t xml:space="preserve">1. </w:t>
      </w:r>
    </w:p>
    <w:p w:rsidR="000A747C" w:rsidRDefault="000A747C" w:rsidP="000A747C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both"/>
      </w:pPr>
      <w:r>
        <w:t>Нарушают переход протромбина в тромбин.</w:t>
      </w:r>
    </w:p>
    <w:p w:rsidR="000A747C" w:rsidRDefault="000A747C" w:rsidP="000A747C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both"/>
      </w:pPr>
      <w:r>
        <w:t>Ингибируют тромбин.</w:t>
      </w:r>
    </w:p>
    <w:p w:rsidR="000A747C" w:rsidRDefault="000A747C" w:rsidP="000A747C">
      <w:pPr>
        <w:tabs>
          <w:tab w:val="left" w:pos="360"/>
        </w:tabs>
        <w:spacing w:after="0" w:line="240" w:lineRule="auto"/>
        <w:ind w:left="567"/>
        <w:jc w:val="both"/>
      </w:pPr>
      <w:bookmarkStart w:id="0" w:name="_GoBack"/>
      <w:bookmarkEnd w:id="0"/>
    </w:p>
    <w:p w:rsidR="000A747C" w:rsidRDefault="000A747C" w:rsidP="000A747C">
      <w:pPr>
        <w:tabs>
          <w:tab w:val="left" w:pos="360"/>
        </w:tabs>
        <w:ind w:firstLine="567"/>
        <w:jc w:val="both"/>
      </w:pP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</w:rPr>
        <w:lastRenderedPageBreak/>
        <w:t>Ответы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</w:rPr>
        <w:t>Задача №1</w:t>
      </w: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Необходимо назначить: </w:t>
      </w:r>
    </w:p>
    <w:p w:rsidR="000A747C" w:rsidRDefault="000A747C" w:rsidP="000A747C">
      <w:pPr>
        <w:numPr>
          <w:ilvl w:val="0"/>
          <w:numId w:val="2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тромбин (внутрь); </w:t>
      </w:r>
    </w:p>
    <w:p w:rsidR="000A747C" w:rsidRDefault="000A747C" w:rsidP="000A747C">
      <w:pPr>
        <w:numPr>
          <w:ilvl w:val="0"/>
          <w:numId w:val="2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этамзилат; </w:t>
      </w:r>
    </w:p>
    <w:p w:rsidR="000A747C" w:rsidRDefault="000A747C" w:rsidP="000A747C">
      <w:pPr>
        <w:numPr>
          <w:ilvl w:val="0"/>
          <w:numId w:val="24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аминокапроновую кислоту.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</w:rPr>
        <w:t>Задача №2</w:t>
      </w:r>
    </w:p>
    <w:p w:rsidR="000A747C" w:rsidRDefault="000A747C" w:rsidP="000A747C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Необходимо назначить: </w:t>
      </w:r>
    </w:p>
    <w:p w:rsidR="000A747C" w:rsidRDefault="000A747C" w:rsidP="000A747C">
      <w:pPr>
        <w:numPr>
          <w:ilvl w:val="0"/>
          <w:numId w:val="25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гепарин или фраксипарин;</w:t>
      </w:r>
    </w:p>
    <w:p w:rsidR="000A747C" w:rsidRDefault="000A747C" w:rsidP="000A747C">
      <w:pPr>
        <w:numPr>
          <w:ilvl w:val="0"/>
          <w:numId w:val="25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стрептокиназу или урокиназу;</w:t>
      </w:r>
    </w:p>
    <w:p w:rsidR="000A747C" w:rsidRDefault="000A747C" w:rsidP="000A747C">
      <w:pPr>
        <w:numPr>
          <w:ilvl w:val="0"/>
          <w:numId w:val="25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аспирин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</w:rPr>
        <w:t>Задача №3</w:t>
      </w:r>
    </w:p>
    <w:p w:rsidR="000A747C" w:rsidRDefault="000A747C" w:rsidP="000A747C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>
        <w:t>Лечение:</w:t>
      </w:r>
    </w:p>
    <w:p w:rsidR="000A747C" w:rsidRDefault="000A747C" w:rsidP="000A747C">
      <w:pPr>
        <w:numPr>
          <w:ilvl w:val="0"/>
          <w:numId w:val="26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промывание желудка холодной водой;</w:t>
      </w:r>
    </w:p>
    <w:p w:rsidR="000A747C" w:rsidRDefault="000A747C" w:rsidP="000A747C">
      <w:pPr>
        <w:numPr>
          <w:ilvl w:val="0"/>
          <w:numId w:val="26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инфузионная терапия;</w:t>
      </w:r>
    </w:p>
    <w:p w:rsidR="000A747C" w:rsidRDefault="000A747C" w:rsidP="000A747C">
      <w:pPr>
        <w:numPr>
          <w:ilvl w:val="0"/>
          <w:numId w:val="26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 xml:space="preserve">антидототерапия – дефероксамин (хелатор ионов </w:t>
      </w:r>
      <w:r>
        <w:rPr>
          <w:lang w:val="en-US"/>
        </w:rPr>
        <w:t>Fe</w:t>
      </w:r>
      <w:r>
        <w:t>)</w:t>
      </w:r>
    </w:p>
    <w:p w:rsidR="000A747C" w:rsidRDefault="000A747C" w:rsidP="000A747C">
      <w:pPr>
        <w:numPr>
          <w:ilvl w:val="0"/>
          <w:numId w:val="26"/>
        </w:numPr>
        <w:tabs>
          <w:tab w:val="left" w:pos="90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симптоматическая терапия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</w:rPr>
        <w:t>Тесты:</w:t>
      </w:r>
    </w:p>
    <w:p w:rsidR="000A747C" w:rsidRDefault="000A747C" w:rsidP="000A747C">
      <w:pPr>
        <w:tabs>
          <w:tab w:val="left" w:pos="360"/>
        </w:tabs>
        <w:ind w:firstLine="567"/>
        <w:jc w:val="both"/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     </w:t>
      </w:r>
      <w:r>
        <w:t>г, д.</w:t>
      </w:r>
      <w:r>
        <w:rPr>
          <w:b/>
        </w:rPr>
        <w:t xml:space="preserve">                         </w:t>
      </w:r>
      <w:r>
        <w:rPr>
          <w:b/>
          <w:lang w:val="en-US"/>
        </w:rPr>
        <w:t>VI</w:t>
      </w:r>
      <w:r>
        <w:rPr>
          <w:b/>
        </w:rPr>
        <w:t xml:space="preserve">.       </w:t>
      </w:r>
      <w:r>
        <w:t>г.</w:t>
      </w:r>
    </w:p>
    <w:p w:rsidR="000A747C" w:rsidRDefault="000A747C" w:rsidP="000A747C">
      <w:pPr>
        <w:tabs>
          <w:tab w:val="left" w:pos="360"/>
        </w:tabs>
        <w:ind w:firstLine="567"/>
        <w:jc w:val="both"/>
      </w:pPr>
      <w:r>
        <w:rPr>
          <w:b/>
          <w:lang w:val="en-US"/>
        </w:rPr>
        <w:t>II</w:t>
      </w:r>
      <w:r>
        <w:rPr>
          <w:b/>
        </w:rPr>
        <w:t xml:space="preserve">.    </w:t>
      </w:r>
      <w:r>
        <w:t>в, д.</w:t>
      </w:r>
      <w:r>
        <w:rPr>
          <w:b/>
        </w:rPr>
        <w:t xml:space="preserve">                         </w:t>
      </w:r>
      <w:r>
        <w:rPr>
          <w:b/>
          <w:lang w:val="en-US"/>
        </w:rPr>
        <w:t>VII</w:t>
      </w:r>
      <w:r>
        <w:rPr>
          <w:b/>
        </w:rPr>
        <w:t xml:space="preserve">.      </w:t>
      </w:r>
      <w:r>
        <w:t>в, г.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  </w:t>
      </w:r>
      <w:r>
        <w:t>б.</w:t>
      </w:r>
      <w:r>
        <w:rPr>
          <w:b/>
        </w:rPr>
        <w:t xml:space="preserve">                             </w:t>
      </w:r>
      <w:r>
        <w:rPr>
          <w:b/>
          <w:lang w:val="en-US"/>
        </w:rPr>
        <w:t>VIII</w:t>
      </w:r>
      <w:r>
        <w:rPr>
          <w:b/>
        </w:rPr>
        <w:t xml:space="preserve">.    </w:t>
      </w:r>
      <w:r>
        <w:t>в.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   </w:t>
      </w:r>
      <w:r>
        <w:t>а, б, г, д, е.</w:t>
      </w:r>
      <w:r>
        <w:rPr>
          <w:b/>
        </w:rPr>
        <w:t xml:space="preserve">              </w:t>
      </w:r>
      <w:r>
        <w:rPr>
          <w:b/>
          <w:lang w:val="en-US"/>
        </w:rPr>
        <w:t>IX</w:t>
      </w:r>
      <w:r>
        <w:rPr>
          <w:b/>
        </w:rPr>
        <w:t xml:space="preserve">.       </w:t>
      </w:r>
      <w:r>
        <w:t>а, б, г, д.</w:t>
      </w:r>
    </w:p>
    <w:p w:rsidR="000A747C" w:rsidRDefault="000A747C" w:rsidP="000A747C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 xml:space="preserve">.    </w:t>
      </w:r>
      <w:r>
        <w:t>а, д, е.</w:t>
      </w:r>
      <w:r>
        <w:rPr>
          <w:b/>
        </w:rPr>
        <w:t xml:space="preserve">                       </w:t>
      </w:r>
      <w:r>
        <w:rPr>
          <w:b/>
          <w:lang w:val="en-US"/>
        </w:rPr>
        <w:t>X</w:t>
      </w:r>
      <w:r>
        <w:rPr>
          <w:b/>
        </w:rPr>
        <w:t xml:space="preserve">.        </w:t>
      </w:r>
      <w:r>
        <w:t>а.</w:t>
      </w:r>
    </w:p>
    <w:p w:rsidR="007209D8" w:rsidRPr="00FB75B2" w:rsidRDefault="007209D8" w:rsidP="00FB75B2"/>
    <w:sectPr w:rsidR="007209D8" w:rsidRPr="00FB75B2" w:rsidSect="004B6857">
      <w:pgSz w:w="11906" w:h="16838"/>
      <w:pgMar w:top="567" w:right="851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AF" w:rsidRDefault="00154BAF" w:rsidP="00B1308F">
      <w:pPr>
        <w:spacing w:after="0" w:line="240" w:lineRule="auto"/>
      </w:pPr>
      <w:r>
        <w:separator/>
      </w:r>
    </w:p>
  </w:endnote>
  <w:endnote w:type="continuationSeparator" w:id="0">
    <w:p w:rsidR="00154BAF" w:rsidRDefault="00154BAF" w:rsidP="00B13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AF" w:rsidRDefault="00154BAF" w:rsidP="00B1308F">
      <w:pPr>
        <w:spacing w:after="0" w:line="240" w:lineRule="auto"/>
      </w:pPr>
      <w:r>
        <w:separator/>
      </w:r>
    </w:p>
  </w:footnote>
  <w:footnote w:type="continuationSeparator" w:id="0">
    <w:p w:rsidR="00154BAF" w:rsidRDefault="00154BAF" w:rsidP="00B13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98F467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64F2C73"/>
    <w:multiLevelType w:val="multilevel"/>
    <w:tmpl w:val="FFAAC9F4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CAB300C"/>
    <w:multiLevelType w:val="multilevel"/>
    <w:tmpl w:val="C34830DE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075036D"/>
    <w:multiLevelType w:val="multilevel"/>
    <w:tmpl w:val="6802A7C2"/>
    <w:lvl w:ilvl="0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295D80"/>
    <w:multiLevelType w:val="multilevel"/>
    <w:tmpl w:val="75F6B812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170E211B"/>
    <w:multiLevelType w:val="multilevel"/>
    <w:tmpl w:val="AE8000C0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7956DBE"/>
    <w:multiLevelType w:val="multilevel"/>
    <w:tmpl w:val="C982FB16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3631BC"/>
    <w:multiLevelType w:val="hybridMultilevel"/>
    <w:tmpl w:val="6802A7C2"/>
    <w:lvl w:ilvl="0" w:tplc="134A8010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0CD62DB"/>
    <w:multiLevelType w:val="multilevel"/>
    <w:tmpl w:val="096EFE62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7B7700"/>
    <w:multiLevelType w:val="multilevel"/>
    <w:tmpl w:val="339667E6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1131E0"/>
    <w:multiLevelType w:val="multilevel"/>
    <w:tmpl w:val="6AB86D04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0644D6C"/>
    <w:multiLevelType w:val="multilevel"/>
    <w:tmpl w:val="3AB6DFB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53EF3DDC"/>
    <w:multiLevelType w:val="hybridMultilevel"/>
    <w:tmpl w:val="A2C602C2"/>
    <w:lvl w:ilvl="0" w:tplc="2B141218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09153F"/>
    <w:multiLevelType w:val="hybridMultilevel"/>
    <w:tmpl w:val="790C3F4E"/>
    <w:lvl w:ilvl="0" w:tplc="EA08C52C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1B3BA4"/>
    <w:multiLevelType w:val="hybridMultilevel"/>
    <w:tmpl w:val="B28657D8"/>
    <w:lvl w:ilvl="0" w:tplc="FBD23F10">
      <w:start w:val="1"/>
      <w:numFmt w:val="upperRoman"/>
      <w:lvlText w:val="%1."/>
      <w:lvlJc w:val="left"/>
      <w:pPr>
        <w:tabs>
          <w:tab w:val="num" w:pos="964"/>
        </w:tabs>
        <w:ind w:left="0" w:firstLine="567"/>
      </w:pPr>
      <w:rPr>
        <w:b/>
        <w:i w:val="0"/>
      </w:rPr>
    </w:lvl>
    <w:lvl w:ilvl="1" w:tplc="1FF455D0">
      <w:start w:val="1"/>
      <w:numFmt w:val="upperRoman"/>
      <w:lvlText w:val="%2."/>
      <w:lvlJc w:val="left"/>
      <w:pPr>
        <w:tabs>
          <w:tab w:val="num" w:pos="964"/>
        </w:tabs>
        <w:ind w:left="0" w:firstLine="567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0F39CC"/>
    <w:multiLevelType w:val="hybridMultilevel"/>
    <w:tmpl w:val="6A26AA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AE4AD186">
      <w:start w:val="1"/>
      <w:numFmt w:val="decimal"/>
      <w:lvlText w:val="%4."/>
      <w:lvlJc w:val="left"/>
      <w:pPr>
        <w:ind w:left="3447" w:hanging="360"/>
      </w:pPr>
      <w:rPr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A19099A"/>
    <w:multiLevelType w:val="hybridMultilevel"/>
    <w:tmpl w:val="37CAB83E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41364A"/>
    <w:multiLevelType w:val="multilevel"/>
    <w:tmpl w:val="C2B29FC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0263FD7"/>
    <w:multiLevelType w:val="multilevel"/>
    <w:tmpl w:val="43B4CAA0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E118F6"/>
    <w:multiLevelType w:val="hybridMultilevel"/>
    <w:tmpl w:val="D4FA2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D406C"/>
    <w:multiLevelType w:val="multilevel"/>
    <w:tmpl w:val="2B26CA1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2"/>
  </w:num>
  <w:num w:numId="3">
    <w:abstractNumId w:val="24"/>
  </w:num>
  <w:num w:numId="4">
    <w:abstractNumId w:val="15"/>
  </w:num>
  <w:num w:numId="5">
    <w:abstractNumId w:val="9"/>
  </w:num>
  <w:num w:numId="6">
    <w:abstractNumId w:val="20"/>
  </w:num>
  <w:num w:numId="7">
    <w:abstractNumId w:val="23"/>
  </w:num>
  <w:num w:numId="8">
    <w:abstractNumId w:val="7"/>
  </w:num>
  <w:num w:numId="9">
    <w:abstractNumId w:val="19"/>
  </w:num>
  <w:num w:numId="10">
    <w:abstractNumId w:val="0"/>
  </w:num>
  <w:num w:numId="1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274C"/>
    <w:rsid w:val="000029FF"/>
    <w:rsid w:val="000137B6"/>
    <w:rsid w:val="0001675A"/>
    <w:rsid w:val="00026DAA"/>
    <w:rsid w:val="000A0688"/>
    <w:rsid w:val="000A23CD"/>
    <w:rsid w:val="000A747C"/>
    <w:rsid w:val="000C2D29"/>
    <w:rsid w:val="000D1968"/>
    <w:rsid w:val="001164D9"/>
    <w:rsid w:val="00123A36"/>
    <w:rsid w:val="0012644A"/>
    <w:rsid w:val="00131C4F"/>
    <w:rsid w:val="00135F6B"/>
    <w:rsid w:val="00136748"/>
    <w:rsid w:val="00137CAF"/>
    <w:rsid w:val="00150A6A"/>
    <w:rsid w:val="00154BAF"/>
    <w:rsid w:val="00157F08"/>
    <w:rsid w:val="00170428"/>
    <w:rsid w:val="00170E78"/>
    <w:rsid w:val="001A29F5"/>
    <w:rsid w:val="001A7E94"/>
    <w:rsid w:val="001D233F"/>
    <w:rsid w:val="001D41C3"/>
    <w:rsid w:val="001D5FC1"/>
    <w:rsid w:val="001E32C9"/>
    <w:rsid w:val="00203FF2"/>
    <w:rsid w:val="002112EF"/>
    <w:rsid w:val="00220480"/>
    <w:rsid w:val="002443FF"/>
    <w:rsid w:val="002611C1"/>
    <w:rsid w:val="002647A9"/>
    <w:rsid w:val="0027140D"/>
    <w:rsid w:val="002B33FE"/>
    <w:rsid w:val="002F03E5"/>
    <w:rsid w:val="002F3633"/>
    <w:rsid w:val="002F3DE9"/>
    <w:rsid w:val="00307521"/>
    <w:rsid w:val="00316BEA"/>
    <w:rsid w:val="003418D4"/>
    <w:rsid w:val="003446AE"/>
    <w:rsid w:val="00387723"/>
    <w:rsid w:val="003B4E0D"/>
    <w:rsid w:val="003C3CED"/>
    <w:rsid w:val="003C4BCF"/>
    <w:rsid w:val="003C5409"/>
    <w:rsid w:val="003D22DB"/>
    <w:rsid w:val="00406AA8"/>
    <w:rsid w:val="00422DD2"/>
    <w:rsid w:val="00423BD7"/>
    <w:rsid w:val="00432F30"/>
    <w:rsid w:val="00442B21"/>
    <w:rsid w:val="0046127B"/>
    <w:rsid w:val="004722EB"/>
    <w:rsid w:val="004764B2"/>
    <w:rsid w:val="00480320"/>
    <w:rsid w:val="004823D8"/>
    <w:rsid w:val="004859D0"/>
    <w:rsid w:val="004B07EA"/>
    <w:rsid w:val="004B1076"/>
    <w:rsid w:val="004B6857"/>
    <w:rsid w:val="004C30C8"/>
    <w:rsid w:val="004E4FF5"/>
    <w:rsid w:val="004F5B40"/>
    <w:rsid w:val="005040E1"/>
    <w:rsid w:val="00521C60"/>
    <w:rsid w:val="005254C1"/>
    <w:rsid w:val="00540E8B"/>
    <w:rsid w:val="00554EAD"/>
    <w:rsid w:val="00556667"/>
    <w:rsid w:val="00561ED3"/>
    <w:rsid w:val="005770C6"/>
    <w:rsid w:val="005964D6"/>
    <w:rsid w:val="00596680"/>
    <w:rsid w:val="005B39D2"/>
    <w:rsid w:val="005C078B"/>
    <w:rsid w:val="005C65C3"/>
    <w:rsid w:val="005D1CBB"/>
    <w:rsid w:val="005D73DA"/>
    <w:rsid w:val="005F0356"/>
    <w:rsid w:val="00605E1C"/>
    <w:rsid w:val="006130E7"/>
    <w:rsid w:val="00617ABB"/>
    <w:rsid w:val="00651091"/>
    <w:rsid w:val="0065491C"/>
    <w:rsid w:val="00655693"/>
    <w:rsid w:val="006640C2"/>
    <w:rsid w:val="006664C1"/>
    <w:rsid w:val="0066754C"/>
    <w:rsid w:val="00673786"/>
    <w:rsid w:val="00674870"/>
    <w:rsid w:val="0068042A"/>
    <w:rsid w:val="00682B6A"/>
    <w:rsid w:val="0068405A"/>
    <w:rsid w:val="006900B3"/>
    <w:rsid w:val="00695A47"/>
    <w:rsid w:val="006B0BFF"/>
    <w:rsid w:val="006B1AD2"/>
    <w:rsid w:val="006D2E80"/>
    <w:rsid w:val="006E1583"/>
    <w:rsid w:val="006E274C"/>
    <w:rsid w:val="006E5B87"/>
    <w:rsid w:val="006F756F"/>
    <w:rsid w:val="007209D8"/>
    <w:rsid w:val="00734018"/>
    <w:rsid w:val="0074617A"/>
    <w:rsid w:val="007550EA"/>
    <w:rsid w:val="007737D8"/>
    <w:rsid w:val="0077470D"/>
    <w:rsid w:val="00780498"/>
    <w:rsid w:val="007A7573"/>
    <w:rsid w:val="007D0B4B"/>
    <w:rsid w:val="007D0ED0"/>
    <w:rsid w:val="00801BD8"/>
    <w:rsid w:val="00803EDF"/>
    <w:rsid w:val="008263F9"/>
    <w:rsid w:val="00842A9F"/>
    <w:rsid w:val="00882B13"/>
    <w:rsid w:val="00893BD9"/>
    <w:rsid w:val="008A42E9"/>
    <w:rsid w:val="008A772D"/>
    <w:rsid w:val="008B5470"/>
    <w:rsid w:val="008E5D13"/>
    <w:rsid w:val="00915D8C"/>
    <w:rsid w:val="009230DA"/>
    <w:rsid w:val="00925832"/>
    <w:rsid w:val="009327C7"/>
    <w:rsid w:val="0097334B"/>
    <w:rsid w:val="00981CA4"/>
    <w:rsid w:val="009908F6"/>
    <w:rsid w:val="00994426"/>
    <w:rsid w:val="009C0BBC"/>
    <w:rsid w:val="009E2560"/>
    <w:rsid w:val="009F7D4E"/>
    <w:rsid w:val="00A0392A"/>
    <w:rsid w:val="00A20063"/>
    <w:rsid w:val="00A30395"/>
    <w:rsid w:val="00A61641"/>
    <w:rsid w:val="00A77E1A"/>
    <w:rsid w:val="00A81E70"/>
    <w:rsid w:val="00A919F9"/>
    <w:rsid w:val="00A96816"/>
    <w:rsid w:val="00AA1B0A"/>
    <w:rsid w:val="00AC3D3D"/>
    <w:rsid w:val="00AE14B6"/>
    <w:rsid w:val="00B1308F"/>
    <w:rsid w:val="00B329EA"/>
    <w:rsid w:val="00B63188"/>
    <w:rsid w:val="00B85D49"/>
    <w:rsid w:val="00B91ED4"/>
    <w:rsid w:val="00B92308"/>
    <w:rsid w:val="00BA24E8"/>
    <w:rsid w:val="00BA3C7C"/>
    <w:rsid w:val="00BB1D28"/>
    <w:rsid w:val="00BE7DED"/>
    <w:rsid w:val="00BF03D5"/>
    <w:rsid w:val="00BF477F"/>
    <w:rsid w:val="00C20FA4"/>
    <w:rsid w:val="00C27911"/>
    <w:rsid w:val="00C31D55"/>
    <w:rsid w:val="00C50AE1"/>
    <w:rsid w:val="00C522EF"/>
    <w:rsid w:val="00C6451F"/>
    <w:rsid w:val="00C7451E"/>
    <w:rsid w:val="00CA26D3"/>
    <w:rsid w:val="00CB12E5"/>
    <w:rsid w:val="00CC1183"/>
    <w:rsid w:val="00CC152C"/>
    <w:rsid w:val="00CC39F4"/>
    <w:rsid w:val="00CD2302"/>
    <w:rsid w:val="00CD4A5A"/>
    <w:rsid w:val="00CF4AFB"/>
    <w:rsid w:val="00CF6AC1"/>
    <w:rsid w:val="00D00B6D"/>
    <w:rsid w:val="00D03F43"/>
    <w:rsid w:val="00D26D97"/>
    <w:rsid w:val="00D3731A"/>
    <w:rsid w:val="00D901D4"/>
    <w:rsid w:val="00DA4415"/>
    <w:rsid w:val="00DB2E04"/>
    <w:rsid w:val="00DF7948"/>
    <w:rsid w:val="00E20176"/>
    <w:rsid w:val="00E26A00"/>
    <w:rsid w:val="00E33CFE"/>
    <w:rsid w:val="00E40379"/>
    <w:rsid w:val="00E434ED"/>
    <w:rsid w:val="00E744E4"/>
    <w:rsid w:val="00E805AE"/>
    <w:rsid w:val="00E844F5"/>
    <w:rsid w:val="00E91391"/>
    <w:rsid w:val="00E9449D"/>
    <w:rsid w:val="00EA189D"/>
    <w:rsid w:val="00EA25FA"/>
    <w:rsid w:val="00EB1A7F"/>
    <w:rsid w:val="00EB7431"/>
    <w:rsid w:val="00EC78AA"/>
    <w:rsid w:val="00EF4435"/>
    <w:rsid w:val="00F001B2"/>
    <w:rsid w:val="00F05D9A"/>
    <w:rsid w:val="00F1529D"/>
    <w:rsid w:val="00F208B5"/>
    <w:rsid w:val="00F42BFD"/>
    <w:rsid w:val="00F450E2"/>
    <w:rsid w:val="00F71628"/>
    <w:rsid w:val="00FB3A9B"/>
    <w:rsid w:val="00FB61B4"/>
    <w:rsid w:val="00FB75B2"/>
    <w:rsid w:val="00FC070B"/>
    <w:rsid w:val="00FC7119"/>
    <w:rsid w:val="00FD0119"/>
    <w:rsid w:val="00FD731D"/>
    <w:rsid w:val="00FE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B690102B-2974-4372-808F-2C66E6D7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74C"/>
    <w:pPr>
      <w:spacing w:after="160" w:line="259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E274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6E274C"/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B1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1308F"/>
    <w:rPr>
      <w:rFonts w:cs="Times New Roman"/>
    </w:rPr>
  </w:style>
  <w:style w:type="paragraph" w:styleId="a7">
    <w:name w:val="footer"/>
    <w:basedOn w:val="a"/>
    <w:link w:val="a8"/>
    <w:uiPriority w:val="99"/>
    <w:rsid w:val="00B1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1308F"/>
    <w:rPr>
      <w:rFonts w:cs="Times New Roman"/>
    </w:rPr>
  </w:style>
  <w:style w:type="paragraph" w:styleId="a9">
    <w:name w:val="Normal (Web)"/>
    <w:basedOn w:val="a"/>
    <w:uiPriority w:val="99"/>
    <w:semiHidden/>
    <w:rsid w:val="00EB7431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a">
    <w:name w:val="Table Grid"/>
    <w:basedOn w:val="a1"/>
    <w:uiPriority w:val="99"/>
    <w:rsid w:val="008A42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rsid w:val="009908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c">
    <w:name w:val="Текст Знак"/>
    <w:link w:val="ab"/>
    <w:locked/>
    <w:rsid w:val="009908F6"/>
    <w:rPr>
      <w:rFonts w:ascii="Courier New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9908F6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link w:val="ad"/>
    <w:uiPriority w:val="99"/>
    <w:locked/>
    <w:rsid w:val="009908F6"/>
    <w:rPr>
      <w:rFonts w:eastAsia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9908F6"/>
    <w:pPr>
      <w:ind w:left="720"/>
      <w:contextualSpacing/>
    </w:pPr>
  </w:style>
  <w:style w:type="paragraph" w:styleId="af0">
    <w:name w:val="List Number"/>
    <w:basedOn w:val="a"/>
    <w:next w:val="a"/>
    <w:rsid w:val="00A96816"/>
    <w:pPr>
      <w:spacing w:after="0" w:line="240" w:lineRule="auto"/>
    </w:pPr>
    <w:rPr>
      <w:rFonts w:eastAsia="Times New Roman"/>
      <w:sz w:val="28"/>
      <w:szCs w:val="24"/>
      <w:lang w:eastAsia="zh-CN"/>
    </w:rPr>
  </w:style>
  <w:style w:type="paragraph" w:styleId="4">
    <w:name w:val="List Number 4"/>
    <w:basedOn w:val="a"/>
    <w:uiPriority w:val="99"/>
    <w:semiHidden/>
    <w:unhideWhenUsed/>
    <w:rsid w:val="000A747C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0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126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6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6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1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126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12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1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12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1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46</cp:revision>
  <cp:lastPrinted>2018-01-04T05:45:00Z</cp:lastPrinted>
  <dcterms:created xsi:type="dcterms:W3CDTF">2016-09-01T03:46:00Z</dcterms:created>
  <dcterms:modified xsi:type="dcterms:W3CDTF">2018-10-25T11:21:00Z</dcterms:modified>
</cp:coreProperties>
</file>